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F45" w:rsidRDefault="00694F4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Информация </w:t>
      </w:r>
      <w:r w:rsidR="00833854">
        <w:rPr>
          <w:b/>
          <w:bCs/>
          <w:sz w:val="28"/>
          <w:szCs w:val="28"/>
        </w:rPr>
        <w:t xml:space="preserve"> </w:t>
      </w:r>
    </w:p>
    <w:p w:rsidR="00472FB0" w:rsidRDefault="00694F4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тему: «Создание и развитие Ресурсного центра в городе Когалыме: достижения, показатели и перспективы </w:t>
      </w:r>
    </w:p>
    <w:p w:rsidR="00694F45" w:rsidRDefault="00694F4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2025 год и </w:t>
      </w:r>
      <w:r w:rsidR="00472FB0" w:rsidRPr="00472FB0">
        <w:rPr>
          <w:b/>
          <w:bCs/>
          <w:sz w:val="28"/>
          <w:szCs w:val="28"/>
        </w:rPr>
        <w:t>последующие годы</w:t>
      </w:r>
      <w:r>
        <w:rPr>
          <w:b/>
          <w:bCs/>
          <w:sz w:val="28"/>
          <w:szCs w:val="28"/>
        </w:rPr>
        <w:t xml:space="preserve">» </w:t>
      </w:r>
    </w:p>
    <w:p w:rsidR="00694F45" w:rsidRDefault="00694F45">
      <w:pPr>
        <w:jc w:val="center"/>
        <w:rPr>
          <w:b/>
          <w:bCs/>
          <w:sz w:val="28"/>
          <w:szCs w:val="28"/>
        </w:rPr>
      </w:pPr>
    </w:p>
    <w:p w:rsidR="00BA2610" w:rsidRPr="00694F45" w:rsidRDefault="00694F45" w:rsidP="00694F45">
      <w:pPr>
        <w:tabs>
          <w:tab w:val="left" w:pos="5103"/>
        </w:tabs>
        <w:ind w:left="4956"/>
        <w:jc w:val="right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Беседин</w:t>
      </w:r>
      <w:r w:rsidR="00472FB0">
        <w:rPr>
          <w:bCs/>
          <w:i/>
          <w:sz w:val="28"/>
          <w:szCs w:val="28"/>
        </w:rPr>
        <w:t>а</w:t>
      </w:r>
      <w:r>
        <w:rPr>
          <w:bCs/>
          <w:i/>
          <w:sz w:val="28"/>
          <w:szCs w:val="28"/>
        </w:rPr>
        <w:t xml:space="preserve"> Анастаси</w:t>
      </w:r>
      <w:r w:rsidR="00472FB0">
        <w:rPr>
          <w:bCs/>
          <w:i/>
          <w:sz w:val="28"/>
          <w:szCs w:val="28"/>
        </w:rPr>
        <w:t>я</w:t>
      </w:r>
      <w:r>
        <w:rPr>
          <w:bCs/>
          <w:i/>
          <w:sz w:val="28"/>
          <w:szCs w:val="28"/>
        </w:rPr>
        <w:t xml:space="preserve"> Сергеевн</w:t>
      </w:r>
      <w:r w:rsidR="00472FB0">
        <w:rPr>
          <w:bCs/>
          <w:i/>
          <w:sz w:val="28"/>
          <w:szCs w:val="28"/>
        </w:rPr>
        <w:t>а</w:t>
      </w:r>
      <w:r>
        <w:rPr>
          <w:bCs/>
          <w:i/>
          <w:sz w:val="28"/>
          <w:szCs w:val="28"/>
        </w:rPr>
        <w:t xml:space="preserve">, </w:t>
      </w:r>
      <w:r w:rsidR="00472FB0">
        <w:rPr>
          <w:bCs/>
          <w:i/>
          <w:sz w:val="28"/>
          <w:szCs w:val="28"/>
        </w:rPr>
        <w:t>директор</w:t>
      </w:r>
      <w:r w:rsidR="00833854" w:rsidRPr="00694F45">
        <w:rPr>
          <w:bCs/>
          <w:i/>
          <w:sz w:val="28"/>
          <w:szCs w:val="28"/>
        </w:rPr>
        <w:t xml:space="preserve"> автономной некоммерческой организации «Ресурсный центр</w:t>
      </w:r>
      <w:r>
        <w:rPr>
          <w:bCs/>
          <w:i/>
          <w:sz w:val="28"/>
          <w:szCs w:val="28"/>
        </w:rPr>
        <w:t xml:space="preserve"> поддержки НКО города Когалыма»</w:t>
      </w:r>
      <w:r w:rsidR="00833854" w:rsidRPr="00694F45">
        <w:rPr>
          <w:bCs/>
          <w:i/>
          <w:sz w:val="28"/>
          <w:szCs w:val="28"/>
        </w:rPr>
        <w:t xml:space="preserve"> </w:t>
      </w:r>
    </w:p>
    <w:p w:rsidR="00BA2610" w:rsidRPr="00694F45" w:rsidRDefault="00BA2610">
      <w:pPr>
        <w:spacing w:line="360" w:lineRule="auto"/>
        <w:ind w:firstLine="708"/>
        <w:jc w:val="both"/>
        <w:rPr>
          <w:bCs/>
          <w:i/>
          <w:sz w:val="28"/>
          <w:szCs w:val="28"/>
        </w:rPr>
      </w:pPr>
    </w:p>
    <w:p w:rsidR="00BA2610" w:rsidRDefault="00833854" w:rsidP="00694F45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Ресурсный центр поддержки НКО города Когалыма (далее – Ресурсный центр, РЦ) был создан, чтобы ответить на вызовы быстрорастущего некоммерческого сектора в муниципалитете и удовлетворить потребность общества в профессиональной, разноплановой поддержке. Начиная с момента своего основания, организация стремилась укрепить гражданское общество и повысить качество жизни жителей Когалыма, помогая им находить ресурсы, формировать партнёрские связи и успешно реализовывать социальные инициативы.</w:t>
      </w:r>
    </w:p>
    <w:p w:rsidR="00ED6C0E" w:rsidRDefault="00833854" w:rsidP="00694F45">
      <w:pPr>
        <w:ind w:firstLine="708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За период работы с 2021 по 2024 год РЦ превратился в востребованную площадку, оказывающую консультационные, образовательные и организационные услуги для множества некоммерческих организаций и инициативных групп. Сформировались устойчивые связи с муниципальными органами власти, бизнесом и Фондом «Центр гражданских и социальных инициатив Югры» - оператором грантов Губернатора. </w:t>
      </w:r>
    </w:p>
    <w:p w:rsidR="00BA2610" w:rsidRDefault="00833854" w:rsidP="00694F45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 xml:space="preserve">В </w:t>
      </w:r>
      <w:r w:rsidR="00ED6C0E">
        <w:rPr>
          <w:rFonts w:eastAsia="Times New Roman"/>
          <w:sz w:val="28"/>
          <w:szCs w:val="28"/>
        </w:rPr>
        <w:t xml:space="preserve">информации </w:t>
      </w:r>
      <w:r>
        <w:rPr>
          <w:rFonts w:eastAsia="Times New Roman"/>
          <w:sz w:val="28"/>
          <w:szCs w:val="28"/>
        </w:rPr>
        <w:t>представлена история создания Ресурсного центра в Когалыме, обобщаются достигнутые результаты и ключевые показатели, а также описываются перспективы его дальнейшего развития в 2025 году и последующие годы.</w:t>
      </w:r>
    </w:p>
    <w:p w:rsidR="00BA2610" w:rsidRDefault="00833854" w:rsidP="00694F45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noProof/>
          <w:sz w:val="28"/>
          <w:szCs w:val="28"/>
          <w:lang w:eastAsia="ru-RU"/>
        </w:rPr>
        <mc:AlternateContent>
          <mc:Choice Requires="wpg">
            <w:drawing>
              <wp:inline distT="0" distB="0" distL="0" distR="0">
                <wp:extent cx="0" cy="19050"/>
                <wp:effectExtent l="0" t="0" r="0" b="0"/>
                <wp:docPr id="10" name="_x0000_i10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1905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shape 9" o:spid="_x0000_s9" o:spt="1" type="#_x0000_t1" style="width:0.00pt;height:1.50pt;mso-wrap-distance-left:0.00pt;mso-wrap-distance-top:0.00pt;mso-wrap-distance-right:0.00pt;mso-wrap-distance-bottom:0.00pt;visibility:visible;" fillcolor="#A0A0A0" stroked="f"/>
            </w:pict>
          </mc:Fallback>
        </mc:AlternateContent>
      </w:r>
      <w:r>
        <w:rPr>
          <w:rFonts w:eastAsia="Times New Roman"/>
          <w:sz w:val="28"/>
          <w:szCs w:val="28"/>
        </w:rPr>
        <w:t xml:space="preserve">Идея создания РЦ основывалась на необходимости объединить все возможные инструменты и опыт для поддержки некоммерческих организаций. Традиционно НКО сталкивались с проблемами нехватки правовой, финансовой и методической помощи, а также с трудностями в поиске ресурсов и партнёров. </w:t>
      </w:r>
      <w:r w:rsidR="00ED6C0E">
        <w:rPr>
          <w:rFonts w:eastAsia="Times New Roman"/>
          <w:sz w:val="28"/>
          <w:szCs w:val="28"/>
        </w:rPr>
        <w:t xml:space="preserve">В </w:t>
      </w:r>
      <w:r w:rsidR="006112E2">
        <w:rPr>
          <w:rFonts w:eastAsia="Times New Roman"/>
          <w:sz w:val="28"/>
          <w:szCs w:val="28"/>
        </w:rPr>
        <w:t>связи с чем,</w:t>
      </w:r>
      <w:r>
        <w:rPr>
          <w:rFonts w:eastAsia="Times New Roman"/>
          <w:sz w:val="28"/>
          <w:szCs w:val="28"/>
        </w:rPr>
        <w:t xml:space="preserve"> группа местных</w:t>
      </w:r>
      <w:r w:rsidR="006112E2">
        <w:rPr>
          <w:rFonts w:eastAsia="Times New Roman"/>
          <w:sz w:val="28"/>
          <w:szCs w:val="28"/>
        </w:rPr>
        <w:t xml:space="preserve"> общественников при содействии а</w:t>
      </w:r>
      <w:r>
        <w:rPr>
          <w:rFonts w:eastAsia="Times New Roman"/>
          <w:sz w:val="28"/>
          <w:szCs w:val="28"/>
        </w:rPr>
        <w:t>дминистрации города Когалыма и Фонда «Центр гражданских и социальных инициатив Югры» - оператор</w:t>
      </w:r>
      <w:r w:rsidR="006112E2">
        <w:rPr>
          <w:rFonts w:eastAsia="Times New Roman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 xml:space="preserve"> грантов Губернатора</w:t>
      </w:r>
      <w:r w:rsidR="006112E2">
        <w:rPr>
          <w:rFonts w:eastAsia="Times New Roman"/>
          <w:sz w:val="28"/>
          <w:szCs w:val="28"/>
        </w:rPr>
        <w:t>,</w:t>
      </w:r>
      <w:r>
        <w:rPr>
          <w:rFonts w:eastAsia="Times New Roman"/>
          <w:sz w:val="28"/>
          <w:szCs w:val="28"/>
        </w:rPr>
        <w:t xml:space="preserve"> инициировала запуск новой организации.</w:t>
      </w:r>
    </w:p>
    <w:p w:rsidR="006112E2" w:rsidRDefault="00833854" w:rsidP="006112E2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Главная цель РЦ – способствовать укреплению гражданского общества через:</w:t>
      </w:r>
    </w:p>
    <w:p w:rsidR="006112E2" w:rsidRDefault="00833854" w:rsidP="006112E2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Обеспечение доступа к консультациям (юридическим, бухгалтерским, проектным и т.д.).</w:t>
      </w:r>
    </w:p>
    <w:p w:rsidR="006112E2" w:rsidRDefault="00833854" w:rsidP="006112E2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Создание ресурсной базы (информационные материалы, тренинги, помещения для встреч).</w:t>
      </w:r>
    </w:p>
    <w:p w:rsidR="006112E2" w:rsidRDefault="00833854" w:rsidP="006112E2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Продвижение межсекторного партнёрства, объединяющего НКО, органы власти, бизнес и жителей.</w:t>
      </w:r>
    </w:p>
    <w:p w:rsidR="00BA2610" w:rsidRDefault="00833854" w:rsidP="006112E2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lastRenderedPageBreak/>
        <w:t>Формирование благоприятных условий для межнационального диалога и адаптации мигрантов.</w:t>
      </w:r>
    </w:p>
    <w:p w:rsidR="00BA2610" w:rsidRDefault="00833854" w:rsidP="00694F45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С самого начала команда РЦ стремилась к тому, чтобы центр стал не просто посредником, но полноправным участником жизни города, способным выявлять новые инициативы, помогать им «встать на ноги» и обеспечивать устойчивость даже в меняющемся социальном контексте.</w:t>
      </w:r>
    </w:p>
    <w:p w:rsidR="006112E2" w:rsidRDefault="00833854" w:rsidP="006112E2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noProof/>
          <w:sz w:val="28"/>
          <w:szCs w:val="28"/>
          <w:lang w:eastAsia="ru-RU"/>
        </w:rPr>
        <mc:AlternateContent>
          <mc:Choice Requires="wpg">
            <w:drawing>
              <wp:inline distT="0" distB="0" distL="0" distR="0">
                <wp:extent cx="0" cy="19050"/>
                <wp:effectExtent l="0" t="0" r="0" b="0"/>
                <wp:docPr id="11" name="_x0000_i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1905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shape 10" o:spid="_x0000_s10" o:spt="1" type="#_x0000_t1" style="width:0.00pt;height:1.50pt;mso-wrap-distance-left:0.00pt;mso-wrap-distance-top:0.00pt;mso-wrap-distance-right:0.00pt;mso-wrap-distance-bottom:0.00pt;visibility:visible;" fillcolor="#A0A0A0" stroked="f"/>
            </w:pict>
          </mc:Fallback>
        </mc:AlternateContent>
      </w:r>
      <w:r>
        <w:rPr>
          <w:rFonts w:eastAsia="Times New Roman"/>
          <w:sz w:val="28"/>
          <w:szCs w:val="28"/>
        </w:rPr>
        <w:t>Изначально деятельность Ресурсного центра базировалась на финансировании грантов Губернатора Югры и субсидиях муниципалитета. Полученный стартовый капитал позволил создать инфраструктуру: оборудовать офис, обеспечить сотрудников техникой и мебелью, наладить первые консультационные услуги.</w:t>
      </w:r>
      <w:r w:rsidR="006112E2">
        <w:rPr>
          <w:rFonts w:eastAsia="Times New Roman"/>
          <w:sz w:val="28"/>
          <w:szCs w:val="28"/>
          <w14:ligatures w14:val="none"/>
        </w:rPr>
        <w:t xml:space="preserve"> </w:t>
      </w:r>
      <w:r>
        <w:rPr>
          <w:rFonts w:eastAsia="Times New Roman"/>
          <w:sz w:val="28"/>
          <w:szCs w:val="28"/>
        </w:rPr>
        <w:t>Постепенно сферу работы РЦ расширили за счёт:</w:t>
      </w:r>
    </w:p>
    <w:p w:rsidR="006112E2" w:rsidRDefault="006112E2" w:rsidP="006112E2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- и</w:t>
      </w:r>
      <w:r w:rsidR="00833854">
        <w:rPr>
          <w:rFonts w:eastAsia="Times New Roman"/>
          <w:sz w:val="28"/>
          <w:szCs w:val="28"/>
        </w:rPr>
        <w:t>нформационно-консультационного сопровождения: помощь в регистрации новых НКО, подаче заявок на гранты, решении правовых и бухгалтерских вопросов.</w:t>
      </w:r>
    </w:p>
    <w:p w:rsidR="006112E2" w:rsidRDefault="006112E2" w:rsidP="006112E2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- о</w:t>
      </w:r>
      <w:r w:rsidR="00833854">
        <w:rPr>
          <w:rFonts w:eastAsia="Times New Roman"/>
          <w:sz w:val="28"/>
          <w:szCs w:val="28"/>
        </w:rPr>
        <w:t>рганизации обучающих мероприятий: тренингов, семинаров и круглых столов по вопросам гражданской активности, молодёжных инициатив, межнационального сотрудничества.</w:t>
      </w:r>
    </w:p>
    <w:p w:rsidR="00BA2610" w:rsidRDefault="006112E2" w:rsidP="006112E2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- п</w:t>
      </w:r>
      <w:r w:rsidR="00833854">
        <w:rPr>
          <w:rFonts w:eastAsia="Times New Roman"/>
          <w:sz w:val="28"/>
          <w:szCs w:val="28"/>
        </w:rPr>
        <w:t>оддержки масштабных проектов: участие в проектном планировании и реализации инициатив, получивших финансирование от региональных и федеральных фондов.</w:t>
      </w:r>
    </w:p>
    <w:p w:rsidR="00BA2610" w:rsidRDefault="00833854" w:rsidP="00694F45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Значительную роль в становлении РЦ сыграла муниципальная программа по вовлечению граждан в некоммерческую деятельность. В рамках этой программы Ресурсный центр обеспечивал методическую базу, выступал в роли наставника и консультанта для начинающих лидеров общественного сектора.</w:t>
      </w:r>
    </w:p>
    <w:p w:rsidR="006112E2" w:rsidRDefault="00833854" w:rsidP="006112E2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noProof/>
          <w:sz w:val="28"/>
          <w:szCs w:val="28"/>
          <w:lang w:eastAsia="ru-RU"/>
        </w:rPr>
        <mc:AlternateContent>
          <mc:Choice Requires="wpg">
            <w:drawing>
              <wp:inline distT="0" distB="0" distL="0" distR="0">
                <wp:extent cx="0" cy="19050"/>
                <wp:effectExtent l="0" t="0" r="0" b="0"/>
                <wp:docPr id="12" name="_x0000_i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1905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shape 11" o:spid="_x0000_s11" o:spt="1" type="#_x0000_t1" style="width:0.00pt;height:1.50pt;mso-wrap-distance-left:0.00pt;mso-wrap-distance-top:0.00pt;mso-wrap-distance-right:0.00pt;mso-wrap-distance-bottom:0.00pt;visibility:visible;" fillcolor="#A0A0A0" stroked="f"/>
            </w:pict>
          </mc:Fallback>
        </mc:AlternateContent>
      </w:r>
      <w:r>
        <w:rPr>
          <w:rFonts w:eastAsia="Times New Roman"/>
          <w:sz w:val="28"/>
          <w:szCs w:val="28"/>
        </w:rPr>
        <w:t>По состоянию на начало 2025 года Ресурсный центр может продемонстрировать ряд конкретных достижений, отражающих повышение эффективности работы НКО и усиление социальной активности в городе.</w:t>
      </w:r>
    </w:p>
    <w:p w:rsidR="006112E2" w:rsidRDefault="00833854" w:rsidP="006112E2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Рост числа некоммерческих организаций:</w:t>
      </w:r>
      <w:r w:rsidR="006112E2">
        <w:rPr>
          <w:rFonts w:eastAsia="Times New Roman"/>
          <w:sz w:val="28"/>
          <w:szCs w:val="28"/>
          <w14:ligatures w14:val="none"/>
        </w:rPr>
        <w:t xml:space="preserve"> е</w:t>
      </w:r>
      <w:r>
        <w:rPr>
          <w:rFonts w:eastAsia="Times New Roman"/>
          <w:sz w:val="28"/>
          <w:szCs w:val="28"/>
        </w:rPr>
        <w:t>сли до появления РЦ в городе насчитывалось всего около 60 НКО, то к концу 2024 года их число превысило 100. Многие из них появились благодаря поддержке и консультациям центра, а другие – за счёт того, что РЦ сформировал благоприятную среду, в которой общественные инициативы «вырастали» в зрелые организации.</w:t>
      </w:r>
    </w:p>
    <w:p w:rsidR="006112E2" w:rsidRDefault="00833854" w:rsidP="006112E2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Усиление грантовой активности:</w:t>
      </w:r>
      <w:r w:rsidR="006112E2">
        <w:rPr>
          <w:rFonts w:eastAsia="Times New Roman"/>
          <w:sz w:val="28"/>
          <w:szCs w:val="28"/>
          <w14:ligatures w14:val="none"/>
        </w:rPr>
        <w:t xml:space="preserve"> п</w:t>
      </w:r>
      <w:r>
        <w:rPr>
          <w:rFonts w:eastAsia="Times New Roman"/>
          <w:sz w:val="28"/>
          <w:szCs w:val="28"/>
        </w:rPr>
        <w:t>о данным ежегодных отчётов, совместными усилиями РЦ и местных НКО за три-четыре года было подано более 150 проектных заявок на региональные и федеральные конкурсы. Из них значительная часть получила положительное решение о финансировании.</w:t>
      </w:r>
    </w:p>
    <w:p w:rsidR="006112E2" w:rsidRDefault="00833854" w:rsidP="006112E2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Масштаб консультаций:</w:t>
      </w:r>
      <w:r w:rsidR="006112E2">
        <w:rPr>
          <w:rFonts w:eastAsia="Times New Roman"/>
          <w:sz w:val="28"/>
          <w:szCs w:val="28"/>
        </w:rPr>
        <w:t xml:space="preserve"> к</w:t>
      </w:r>
      <w:r>
        <w:rPr>
          <w:rFonts w:eastAsia="Times New Roman"/>
          <w:sz w:val="28"/>
          <w:szCs w:val="28"/>
        </w:rPr>
        <w:t>оличество индивидуальных консультаций (юридических, проектных, финансовых) для граждан и НКО превысило 2000 за весь период. При этом спектр вопросов варьировался от написания грантовых заявок до специфики регистрации национально-культурных объединений.</w:t>
      </w:r>
    </w:p>
    <w:p w:rsidR="006112E2" w:rsidRDefault="00833854" w:rsidP="006112E2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lastRenderedPageBreak/>
        <w:t>Адаптация мигрантов и развитие межнационального диалога:</w:t>
      </w:r>
      <w:r w:rsidR="006112E2">
        <w:rPr>
          <w:rFonts w:eastAsia="Times New Roman"/>
          <w:sz w:val="28"/>
          <w:szCs w:val="28"/>
          <w14:ligatures w14:val="none"/>
        </w:rPr>
        <w:t xml:space="preserve"> в </w:t>
      </w:r>
      <w:r>
        <w:rPr>
          <w:rFonts w:eastAsia="Times New Roman"/>
          <w:sz w:val="28"/>
          <w:szCs w:val="28"/>
        </w:rPr>
        <w:t>рамках работы «Центра помощи трудовым мигрантам», созданного при РЦ, более 1000 иностранных граждан ежегодно получали услуги по освоению русского языка и знакомству с законодательством и историей России.</w:t>
      </w:r>
      <w:r w:rsidR="006112E2">
        <w:rPr>
          <w:rFonts w:eastAsia="Times New Roman"/>
          <w:sz w:val="28"/>
          <w:szCs w:val="28"/>
          <w14:ligatures w14:val="none"/>
        </w:rPr>
        <w:t xml:space="preserve"> </w:t>
      </w:r>
      <w:r>
        <w:rPr>
          <w:rFonts w:eastAsia="Times New Roman"/>
          <w:sz w:val="28"/>
          <w:szCs w:val="28"/>
        </w:rPr>
        <w:t xml:space="preserve">«Дом Дружбы» при РЦ стал ключевой площадкой, где проходят совместные праздники и встречи. Благодаря этим мероприятиям повысилась </w:t>
      </w:r>
      <w:r w:rsidR="006112E2">
        <w:rPr>
          <w:rFonts w:eastAsia="Times New Roman"/>
          <w:sz w:val="28"/>
          <w:szCs w:val="28"/>
        </w:rPr>
        <w:t>вовлеченность</w:t>
      </w:r>
      <w:r>
        <w:rPr>
          <w:rFonts w:eastAsia="Times New Roman"/>
          <w:sz w:val="28"/>
          <w:szCs w:val="28"/>
        </w:rPr>
        <w:t xml:space="preserve"> мигрантов в культурную жизнь города. </w:t>
      </w:r>
      <w:r w:rsidR="006112E2">
        <w:rPr>
          <w:rFonts w:eastAsia="Times New Roman"/>
          <w:sz w:val="28"/>
          <w:szCs w:val="28"/>
        </w:rPr>
        <w:t>О</w:t>
      </w:r>
      <w:r w:rsidR="006112E2">
        <w:rPr>
          <w:rFonts w:eastAsia="Times New Roman"/>
          <w:sz w:val="28"/>
          <w:szCs w:val="28"/>
        </w:rPr>
        <w:t>чень успешно реализуется на территории</w:t>
      </w:r>
      <w:r w:rsidR="006112E2">
        <w:rPr>
          <w:rFonts w:eastAsia="Times New Roman"/>
          <w:sz w:val="28"/>
          <w:szCs w:val="28"/>
        </w:rPr>
        <w:t xml:space="preserve"> п</w:t>
      </w:r>
      <w:r>
        <w:rPr>
          <w:rFonts w:eastAsia="Times New Roman"/>
          <w:sz w:val="28"/>
          <w:szCs w:val="28"/>
        </w:rPr>
        <w:t>роект «новый проактивный югорчанин».</w:t>
      </w:r>
    </w:p>
    <w:p w:rsidR="006112E2" w:rsidRDefault="00833854" w:rsidP="006112E2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Широкий охват обучающих мероприятий:</w:t>
      </w:r>
      <w:r w:rsidR="006112E2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РЦ провёл свыше 100 семинаров, тренингов и форумов, включая крупные межмуниципальные встречи. Их тематика охватывала права НКО, работу с молодёжью, развитие </w:t>
      </w:r>
      <w:proofErr w:type="spellStart"/>
      <w:r>
        <w:rPr>
          <w:rFonts w:eastAsia="Times New Roman"/>
          <w:sz w:val="28"/>
          <w:szCs w:val="28"/>
        </w:rPr>
        <w:t>волонтёрства</w:t>
      </w:r>
      <w:proofErr w:type="spellEnd"/>
      <w:r>
        <w:rPr>
          <w:rFonts w:eastAsia="Times New Roman"/>
          <w:sz w:val="28"/>
          <w:szCs w:val="28"/>
        </w:rPr>
        <w:t xml:space="preserve"> и многое другое.</w:t>
      </w:r>
      <w:r w:rsidR="006112E2">
        <w:rPr>
          <w:rFonts w:eastAsia="Times New Roman"/>
          <w:sz w:val="28"/>
          <w:szCs w:val="28"/>
          <w14:ligatures w14:val="none"/>
        </w:rPr>
        <w:t xml:space="preserve"> </w:t>
      </w:r>
    </w:p>
    <w:p w:rsidR="00BA2610" w:rsidRDefault="00833854" w:rsidP="006112E2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Институциональное признание:</w:t>
      </w:r>
      <w:r w:rsidR="006112E2">
        <w:rPr>
          <w:rFonts w:eastAsia="Times New Roman"/>
          <w:sz w:val="28"/>
          <w:szCs w:val="28"/>
          <w14:ligatures w14:val="none"/>
        </w:rPr>
        <w:t xml:space="preserve"> к</w:t>
      </w:r>
      <w:r>
        <w:rPr>
          <w:rFonts w:eastAsia="Times New Roman"/>
          <w:sz w:val="28"/>
          <w:szCs w:val="28"/>
        </w:rPr>
        <w:t>оманда РЦ и созданная сеть экспертов активно приглашаются на региональные и российские форумы, встречаются с представителями госструктур, что свидетельствует о высоком уровне компетенций и авторитета организации.</w:t>
      </w:r>
    </w:p>
    <w:p w:rsidR="006112E2" w:rsidRDefault="00833854" w:rsidP="006112E2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noProof/>
          <w:sz w:val="28"/>
          <w:szCs w:val="28"/>
          <w:lang w:eastAsia="ru-RU"/>
        </w:rPr>
        <mc:AlternateContent>
          <mc:Choice Requires="wpg">
            <w:drawing>
              <wp:inline distT="0" distB="0" distL="0" distR="0">
                <wp:extent cx="0" cy="19050"/>
                <wp:effectExtent l="0" t="0" r="0" b="0"/>
                <wp:docPr id="13" name="_x0000_i10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1905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shape 12" o:spid="_x0000_s12" o:spt="1" type="#_x0000_t1" style="width:0.00pt;height:1.50pt;mso-wrap-distance-left:0.00pt;mso-wrap-distance-top:0.00pt;mso-wrap-distance-right:0.00pt;mso-wrap-distance-bottom:0.00pt;visibility:visible;" fillcolor="#A0A0A0" stroked="f"/>
            </w:pict>
          </mc:Fallback>
        </mc:AlternateContent>
      </w:r>
      <w:r>
        <w:rPr>
          <w:rFonts w:eastAsia="Times New Roman"/>
          <w:sz w:val="28"/>
          <w:szCs w:val="28"/>
        </w:rPr>
        <w:t xml:space="preserve">Одной из причин успеха РЦ стало сочетание гибкости в работе с разными целевыми группами и чёткой </w:t>
      </w:r>
      <w:r w:rsidR="006112E2">
        <w:rPr>
          <w:rFonts w:eastAsia="Times New Roman"/>
          <w:sz w:val="28"/>
          <w:szCs w:val="28"/>
        </w:rPr>
        <w:t>системы внутренней организации, в</w:t>
      </w:r>
      <w:r>
        <w:rPr>
          <w:rFonts w:eastAsia="Times New Roman"/>
          <w:sz w:val="28"/>
          <w:szCs w:val="28"/>
        </w:rPr>
        <w:t xml:space="preserve"> частности:</w:t>
      </w:r>
    </w:p>
    <w:p w:rsidR="006112E2" w:rsidRDefault="00833854" w:rsidP="006112E2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Штат специалистов включал экспертов по правовому сопровождению, финансовых консультантов, преподавателя русского языка как иностранного (РКИ), а также менеджеров проектов.</w:t>
      </w:r>
    </w:p>
    <w:p w:rsidR="006112E2" w:rsidRDefault="00833854" w:rsidP="006112E2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 xml:space="preserve">Проектный подход: каждая инициатива (от </w:t>
      </w:r>
      <w:proofErr w:type="spellStart"/>
      <w:r>
        <w:rPr>
          <w:rFonts w:eastAsia="Times New Roman"/>
          <w:sz w:val="28"/>
          <w:szCs w:val="28"/>
        </w:rPr>
        <w:t>интенсивов</w:t>
      </w:r>
      <w:proofErr w:type="spellEnd"/>
      <w:r>
        <w:rPr>
          <w:rFonts w:eastAsia="Times New Roman"/>
          <w:sz w:val="28"/>
          <w:szCs w:val="28"/>
        </w:rPr>
        <w:t xml:space="preserve"> для молодёжи до крупных форумов) оформлялась как проект, имела свои сроки, показатели и бюджет. Это упрощало контроль качества и давало возможность осваивать дополнительные </w:t>
      </w:r>
      <w:proofErr w:type="spellStart"/>
      <w:r>
        <w:rPr>
          <w:rFonts w:eastAsia="Times New Roman"/>
          <w:sz w:val="28"/>
          <w:szCs w:val="28"/>
        </w:rPr>
        <w:t>грантовые</w:t>
      </w:r>
      <w:proofErr w:type="spellEnd"/>
      <w:r>
        <w:rPr>
          <w:rFonts w:eastAsia="Times New Roman"/>
          <w:sz w:val="28"/>
          <w:szCs w:val="28"/>
        </w:rPr>
        <w:t xml:space="preserve"> средства.</w:t>
      </w:r>
    </w:p>
    <w:p w:rsidR="006112E2" w:rsidRDefault="00833854" w:rsidP="006112E2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Сотрудничество с органами власти строилось на взаимовыгодной основе: администрация города поддерживала РЦ через субсидию и имущественные ресурсы (помещения), а РЦ, в свою очередь, обеспечивал реализацию социально значимых программ и продвигал задачи, поставленные муниципалитетом в сфере гражданской активности, общественной дипломатии и профилактики распространения различных деструктивных идеологий.</w:t>
      </w:r>
    </w:p>
    <w:p w:rsidR="00BA2610" w:rsidRDefault="00833854" w:rsidP="006112E2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Система публичных отчётов: важную роль в повышении доверия к РЦ играла открытость. Все итоги проектов, финансовые показатели и планы публиковались в свободном доступе, что позволяло жителям Когалыма видеть, куда направляются ресурсы и каких результатов удаётся достичь.</w:t>
      </w:r>
    </w:p>
    <w:p w:rsidR="00BA2610" w:rsidRDefault="00833854" w:rsidP="00694F45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noProof/>
          <w:sz w:val="28"/>
          <w:szCs w:val="28"/>
          <w:lang w:eastAsia="ru-RU"/>
        </w:rPr>
        <mc:AlternateContent>
          <mc:Choice Requires="wpg">
            <w:drawing>
              <wp:inline distT="0" distB="0" distL="0" distR="0">
                <wp:extent cx="0" cy="19050"/>
                <wp:effectExtent l="0" t="0" r="0" b="0"/>
                <wp:docPr id="14" name="_x0000_i10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1905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shape 13" o:spid="_x0000_s13" o:spt="1" type="#_x0000_t1" style="width:0.00pt;height:1.50pt;mso-wrap-distance-left:0.00pt;mso-wrap-distance-top:0.00pt;mso-wrap-distance-right:0.00pt;mso-wrap-distance-bottom:0.00pt;visibility:visible;" fillcolor="#A0A0A0" stroked="f"/>
            </w:pict>
          </mc:Fallback>
        </mc:AlternateContent>
      </w:r>
      <w:r>
        <w:rPr>
          <w:rFonts w:eastAsia="Times New Roman"/>
          <w:sz w:val="28"/>
          <w:szCs w:val="28"/>
        </w:rPr>
        <w:t>Накопленный Ресурсным центром опыт и сформированная сеть партнёров дают основания говорить о новых горизонтах развития в 2025 году и на долгосрочную перспективу.</w:t>
      </w:r>
    </w:p>
    <w:p w:rsidR="006112E2" w:rsidRDefault="00833854" w:rsidP="006112E2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 xml:space="preserve">В планах РЦ – увеличение пространства «Дома Дружбы» и создание нескольких локальных точек доступа к консультационным услугам в разных районах Когалыма. Это позволит ещё больше приблизиться к жителям и </w:t>
      </w:r>
      <w:r>
        <w:rPr>
          <w:rFonts w:eastAsia="Times New Roman"/>
          <w:sz w:val="28"/>
          <w:szCs w:val="28"/>
        </w:rPr>
        <w:lastRenderedPageBreak/>
        <w:t>охватить новые группы населения, которые пока недостаточно вовлечены в общественную жизнь.</w:t>
      </w:r>
    </w:p>
    <w:p w:rsidR="006112E2" w:rsidRDefault="00833854" w:rsidP="006112E2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Укрепление образовательного направления</w:t>
      </w:r>
      <w:r w:rsidR="006112E2">
        <w:rPr>
          <w:rFonts w:eastAsia="Times New Roman"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  <w:t xml:space="preserve">Центр уже имеет солидную базу для проведения тренингов и курсов. </w:t>
      </w:r>
      <w:r w:rsidR="006112E2">
        <w:rPr>
          <w:rFonts w:eastAsia="Times New Roman"/>
          <w:sz w:val="28"/>
          <w:szCs w:val="28"/>
        </w:rPr>
        <w:t>В</w:t>
      </w:r>
      <w:r>
        <w:rPr>
          <w:rFonts w:eastAsia="Times New Roman"/>
          <w:sz w:val="28"/>
          <w:szCs w:val="28"/>
        </w:rPr>
        <w:t xml:space="preserve"> 2025 </w:t>
      </w:r>
      <w:r w:rsidR="006112E2">
        <w:rPr>
          <w:rFonts w:eastAsia="Times New Roman"/>
          <w:sz w:val="28"/>
          <w:szCs w:val="28"/>
        </w:rPr>
        <w:t>году</w:t>
      </w:r>
      <w:r>
        <w:rPr>
          <w:rFonts w:eastAsia="Times New Roman"/>
          <w:sz w:val="28"/>
          <w:szCs w:val="28"/>
        </w:rPr>
        <w:t xml:space="preserve"> предполагается запустить дополнительные программы онлайн-обучения (в том числе дистанционные курсы по </w:t>
      </w:r>
      <w:proofErr w:type="spellStart"/>
      <w:r>
        <w:rPr>
          <w:rFonts w:eastAsia="Times New Roman"/>
          <w:sz w:val="28"/>
          <w:szCs w:val="28"/>
        </w:rPr>
        <w:t>фандрайзингу</w:t>
      </w:r>
      <w:proofErr w:type="spellEnd"/>
      <w:r>
        <w:rPr>
          <w:rFonts w:eastAsia="Times New Roman"/>
          <w:sz w:val="28"/>
          <w:szCs w:val="28"/>
        </w:rPr>
        <w:t>, социальному проектированию и мультимедийному сопровождению деятельности НКО).</w:t>
      </w:r>
    </w:p>
    <w:p w:rsidR="006112E2" w:rsidRDefault="00833854" w:rsidP="006112E2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Межрегиональные и международные проекты</w:t>
      </w:r>
      <w:r w:rsidR="006112E2">
        <w:rPr>
          <w:rFonts w:eastAsia="Times New Roman"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  <w:t xml:space="preserve">Участие РЦ в российских и международных форумах показывает, что опыт Когалыма может быть полезен и за пределами </w:t>
      </w:r>
      <w:r w:rsidR="006112E2">
        <w:rPr>
          <w:rFonts w:eastAsia="Times New Roman"/>
          <w:sz w:val="28"/>
          <w:szCs w:val="28"/>
        </w:rPr>
        <w:t>Ханты-Мансийского автономного округа – Югры</w:t>
      </w:r>
      <w:r>
        <w:rPr>
          <w:rFonts w:eastAsia="Times New Roman"/>
          <w:sz w:val="28"/>
          <w:szCs w:val="28"/>
        </w:rPr>
        <w:t>. Целесообразно развивать обмен практиками через сетевые ресурсы и проекты, способствующие межкультурному диалогу на уровне страны и ближнего зарубежья.</w:t>
      </w:r>
    </w:p>
    <w:p w:rsidR="006112E2" w:rsidRDefault="00833854" w:rsidP="006112E2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Вовлечение молодёжи в социальные инновации</w:t>
      </w:r>
      <w:r w:rsidR="006112E2">
        <w:rPr>
          <w:rFonts w:eastAsia="Times New Roman"/>
          <w:sz w:val="28"/>
          <w:szCs w:val="28"/>
          <w14:ligatures w14:val="none"/>
        </w:rPr>
        <w:t xml:space="preserve">. К </w:t>
      </w:r>
      <w:r>
        <w:rPr>
          <w:rFonts w:eastAsia="Times New Roman"/>
          <w:sz w:val="28"/>
          <w:szCs w:val="28"/>
        </w:rPr>
        <w:t xml:space="preserve">2025 году планируется запуск волонтёрских и </w:t>
      </w:r>
      <w:proofErr w:type="spellStart"/>
      <w:r>
        <w:rPr>
          <w:rFonts w:eastAsia="Times New Roman"/>
          <w:sz w:val="28"/>
          <w:szCs w:val="28"/>
        </w:rPr>
        <w:t>стартап</w:t>
      </w:r>
      <w:proofErr w:type="spellEnd"/>
      <w:r>
        <w:rPr>
          <w:rFonts w:eastAsia="Times New Roman"/>
          <w:sz w:val="28"/>
          <w:szCs w:val="28"/>
        </w:rPr>
        <w:t>-программ специально для молодых лидеров. Ожидается, что за счёт грантовых средств будут финансироваться лаборатории социальных инноваций, в которых подростки и студенты смогут разрабатывать проекты по благоустройству, экологической безопасности, культурному взаимодействию.</w:t>
      </w:r>
    </w:p>
    <w:p w:rsidR="006112E2" w:rsidRDefault="00833854" w:rsidP="006112E2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Упрочнение финансовой устойчивости</w:t>
      </w:r>
      <w:r w:rsidR="006112E2">
        <w:rPr>
          <w:rFonts w:eastAsia="Times New Roman"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  <w:t>Хотя гранты и муниципальные субсидии остаются важнейшим источником поддержки, РЦ планирует заключать долгосрочные партнёрские соглашения с коммерческими предприятиями. Это диверсифицирует финансовые потоки и создаст более надёжную платформу для системной работы.</w:t>
      </w:r>
    </w:p>
    <w:p w:rsidR="00BA2610" w:rsidRDefault="00833854" w:rsidP="006112E2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Создание многофункциональной структуры</w:t>
      </w:r>
      <w:r w:rsidR="006112E2">
        <w:rPr>
          <w:rFonts w:eastAsia="Times New Roman"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  <w:t xml:space="preserve">Ключевая цель на среднесрочную перспективу – стать полностью многофункциональным ресурсным </w:t>
      </w:r>
      <w:proofErr w:type="spellStart"/>
      <w:r>
        <w:rPr>
          <w:rFonts w:eastAsia="Times New Roman"/>
          <w:sz w:val="28"/>
          <w:szCs w:val="28"/>
        </w:rPr>
        <w:t>хабом</w:t>
      </w:r>
      <w:proofErr w:type="spellEnd"/>
      <w:r>
        <w:rPr>
          <w:rFonts w:eastAsia="Times New Roman"/>
          <w:sz w:val="28"/>
          <w:szCs w:val="28"/>
        </w:rPr>
        <w:t>, где общественные организации, волонтёрские объединения, мигранты, инициативные предприниматели и местные жители смогут получать исчерпывающий спектр услуг – от консультаций и образовательных модулей до бесплатных площадок для встреч и культурных событий.</w:t>
      </w:r>
    </w:p>
    <w:p w:rsidR="00BA2610" w:rsidRDefault="00833854" w:rsidP="00694F45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noProof/>
          <w:sz w:val="28"/>
          <w:szCs w:val="28"/>
          <w:lang w:eastAsia="ru-RU"/>
        </w:rPr>
        <mc:AlternateContent>
          <mc:Choice Requires="wpg">
            <w:drawing>
              <wp:inline distT="0" distB="0" distL="0" distR="0">
                <wp:extent cx="0" cy="19050"/>
                <wp:effectExtent l="0" t="0" r="0" b="0"/>
                <wp:docPr id="15" name="_x0000_i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1905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shape 14" o:spid="_x0000_s14" o:spt="1" type="#_x0000_t1" style="width:0.00pt;height:1.50pt;mso-wrap-distance-left:0.00pt;mso-wrap-distance-top:0.00pt;mso-wrap-distance-right:0.00pt;mso-wrap-distance-bottom:0.00pt;visibility:visible;" fillcolor="#A0A0A0" stroked="f"/>
            </w:pict>
          </mc:Fallback>
        </mc:AlternateContent>
      </w:r>
      <w:r>
        <w:rPr>
          <w:rFonts w:eastAsia="Times New Roman"/>
          <w:sz w:val="28"/>
          <w:szCs w:val="28"/>
        </w:rPr>
        <w:t>Значимость для города и роль в развитии гражданского общества</w:t>
      </w:r>
      <w:r w:rsidR="006112E2">
        <w:rPr>
          <w:rFonts w:eastAsia="Times New Roman"/>
          <w:sz w:val="28"/>
          <w:szCs w:val="28"/>
        </w:rPr>
        <w:t xml:space="preserve">. </w:t>
      </w:r>
    </w:p>
    <w:p w:rsidR="00BA2610" w:rsidRDefault="00833854" w:rsidP="00694F45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Ресурсный центр стал своеобразным мостом, по которому идеи и инициативы переходят к стадии конкретных проектов. С одной стороны, в городе укрепилась культура благотворительности, поскольку всё больше жителей убеждаются, что через НКО и социальные проекты можно реально влиять на жизнь родного муниципалитета. С другой стороны, повысился уровень межнационального согласия и взаимодействия разных структур: мигранты охотнее интегрируются, а их культура воспринимается не как чужая, а как часть общего городского уклада.</w:t>
      </w:r>
    </w:p>
    <w:p w:rsidR="00BA2610" w:rsidRDefault="00833854" w:rsidP="00694F45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 xml:space="preserve">За счёт проведения крупных общественных акций и форумов РЦ внёс вклад и в продвижение позитивного имиджа Когалыма на региональном и федеральном уровне. Расширение возможностей Ресурсного центра в 2025 году даст городу неоспоримые преимущества: новые рабочие места в третьем секторе, более тесные связи с крупными некоммерческими и </w:t>
      </w:r>
      <w:r>
        <w:rPr>
          <w:rFonts w:eastAsia="Times New Roman"/>
          <w:sz w:val="28"/>
          <w:szCs w:val="28"/>
        </w:rPr>
        <w:lastRenderedPageBreak/>
        <w:t>благотворительными фондами, дополнительную поддержку молодёжных и межкультурных проектов.</w:t>
      </w:r>
    </w:p>
    <w:p w:rsidR="00BA2610" w:rsidRDefault="00833854" w:rsidP="00694F45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noProof/>
          <w:sz w:val="28"/>
          <w:szCs w:val="28"/>
          <w:lang w:eastAsia="ru-RU"/>
        </w:rPr>
        <mc:AlternateContent>
          <mc:Choice Requires="wpg">
            <w:drawing>
              <wp:inline distT="0" distB="0" distL="0" distR="0">
                <wp:extent cx="0" cy="19050"/>
                <wp:effectExtent l="0" t="0" r="0" b="0"/>
                <wp:docPr id="16" name="_x0000_i10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1905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shape 15" o:spid="_x0000_s15" o:spt="1" type="#_x0000_t1" style="width:0.00pt;height:1.50pt;mso-wrap-distance-left:0.00pt;mso-wrap-distance-top:0.00pt;mso-wrap-distance-right:0.00pt;mso-wrap-distance-bottom:0.00pt;visibility:visible;" fillcolor="#A0A0A0" stroked="f"/>
            </w:pict>
          </mc:Fallback>
        </mc:AlternateContent>
      </w:r>
      <w:r>
        <w:rPr>
          <w:rFonts w:eastAsia="Times New Roman"/>
          <w:sz w:val="28"/>
          <w:szCs w:val="28"/>
        </w:rPr>
        <w:t>История создания и развития Ресурсного центра в городе Когалыме за пери</w:t>
      </w:r>
      <w:r w:rsidR="006112E2">
        <w:rPr>
          <w:rFonts w:eastAsia="Times New Roman"/>
          <w:sz w:val="28"/>
          <w:szCs w:val="28"/>
        </w:rPr>
        <w:t xml:space="preserve">од 2021–2024гг. - </w:t>
      </w:r>
      <w:r>
        <w:rPr>
          <w:rFonts w:eastAsia="Times New Roman"/>
          <w:sz w:val="28"/>
          <w:szCs w:val="28"/>
        </w:rPr>
        <w:t>это показательный пример того, как целеустремлённость местных активистов, поддержка властей и грамотное использование грантовых ресурсов способны разви</w:t>
      </w:r>
      <w:r w:rsidR="006112E2">
        <w:rPr>
          <w:rFonts w:eastAsia="Times New Roman"/>
          <w:sz w:val="28"/>
          <w:szCs w:val="28"/>
        </w:rPr>
        <w:t>вать</w:t>
      </w:r>
      <w:r>
        <w:rPr>
          <w:rFonts w:eastAsia="Times New Roman"/>
          <w:sz w:val="28"/>
          <w:szCs w:val="28"/>
        </w:rPr>
        <w:t xml:space="preserve"> не только саму организацию, но и всё гражданское сообщество. За несколько лет РЦ добился значительных успехов: выросло количество зарегистрированных НКО, усилилась проектная деятельность, а город получил новый импульс в сфере межнационального сотрудничества и добровольчества.</w:t>
      </w:r>
    </w:p>
    <w:p w:rsidR="00BA2610" w:rsidRDefault="00833854" w:rsidP="00694F45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Сегодня уже трудно представить Когалым без специализированного ресурсного центра, где любой житель может получить квалифицированную консультацию, войти в команду проекта или представить собственную идею по улучшению городской среды. В 2025 году команда Ресурсного центра намерена расширять масштабы своей работы, делая акцент на инновационных форматах обучения и вовлечении ещё более широкого круга людей в решение социальных задач.</w:t>
      </w:r>
    </w:p>
    <w:p w:rsidR="00BA2610" w:rsidRDefault="00833854" w:rsidP="00694F45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 xml:space="preserve">Ресурсный центр Когалыма служит </w:t>
      </w:r>
      <w:r w:rsidR="00AB3FC5">
        <w:rPr>
          <w:rFonts w:eastAsia="Times New Roman"/>
          <w:sz w:val="28"/>
          <w:szCs w:val="28"/>
        </w:rPr>
        <w:t>не только</w:t>
      </w:r>
      <w:r w:rsidR="00AB3FC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точкой роста для некоммерческого сектора, но и формирует новое понимание общественной ответственности, гражданского диалога и культурного многообразия. Именно поэтому дальнейшее развитие организации – одна из важнейших гарантий устойчивости и процветания всего городского сообщества.</w:t>
      </w:r>
      <w:bookmarkStart w:id="0" w:name="_GoBack"/>
      <w:bookmarkEnd w:id="0"/>
    </w:p>
    <w:sectPr w:rsidR="00BA2610" w:rsidSect="00694F45">
      <w:headerReference w:type="default" r:id="rId7"/>
      <w:headerReference w:type="first" r:id="rId8"/>
      <w:footerReference w:type="first" r:id="rId9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093" w:rsidRDefault="00AD0093">
      <w:r>
        <w:separator/>
      </w:r>
    </w:p>
  </w:endnote>
  <w:endnote w:type="continuationSeparator" w:id="0">
    <w:p w:rsidR="00AD0093" w:rsidRDefault="00AD0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610" w:rsidRDefault="00BA261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093" w:rsidRDefault="00AD0093">
      <w:r>
        <w:separator/>
      </w:r>
    </w:p>
  </w:footnote>
  <w:footnote w:type="continuationSeparator" w:id="0">
    <w:p w:rsidR="00AD0093" w:rsidRDefault="00AD00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610" w:rsidRDefault="00833854">
    <w:pPr>
      <w:pStyle w:val="a4"/>
      <w:jc w:val="center"/>
    </w:pPr>
    <w:r>
      <w:fldChar w:fldCharType="begin"/>
    </w:r>
    <w:r>
      <w:instrText>PAGE \* MERGEFORMAT</w:instrText>
    </w:r>
    <w:r>
      <w:fldChar w:fldCharType="separate"/>
    </w:r>
    <w:r w:rsidR="00AB3FC5">
      <w:rPr>
        <w:noProof/>
      </w:rPr>
      <w:t>5</w:t>
    </w:r>
    <w:r>
      <w:fldChar w:fldCharType="end"/>
    </w:r>
  </w:p>
  <w:p w:rsidR="00BA2610" w:rsidRDefault="00BA261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610" w:rsidRDefault="00BA261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11C02"/>
    <w:multiLevelType w:val="hybridMultilevel"/>
    <w:tmpl w:val="5F420336"/>
    <w:lvl w:ilvl="0" w:tplc="A2BEEB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F9A16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DC5EF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8290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E25DB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7A6AF8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FA74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3C25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3498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306208"/>
    <w:multiLevelType w:val="hybridMultilevel"/>
    <w:tmpl w:val="25E8859E"/>
    <w:lvl w:ilvl="0" w:tplc="93CA51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F62025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9805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0FEF76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570012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48970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33EB02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B2740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D0A4C4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E309C2"/>
    <w:multiLevelType w:val="hybridMultilevel"/>
    <w:tmpl w:val="2DEAF604"/>
    <w:lvl w:ilvl="0" w:tplc="91200B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2824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6CAC8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3E7C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2057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BC79B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EAFA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E8ED2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4091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60436F"/>
    <w:multiLevelType w:val="hybridMultilevel"/>
    <w:tmpl w:val="9560FF92"/>
    <w:lvl w:ilvl="0" w:tplc="1E84FC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C98335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BB635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BA0372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7E8572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006632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7AEADD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E0E657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912413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2851C3"/>
    <w:multiLevelType w:val="hybridMultilevel"/>
    <w:tmpl w:val="C6147916"/>
    <w:lvl w:ilvl="0" w:tplc="CFF6A5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406277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9A2A04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B94E1A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B004BC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4221FA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DC0492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B7019F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B8C253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624D1A"/>
    <w:multiLevelType w:val="hybridMultilevel"/>
    <w:tmpl w:val="3D9252A2"/>
    <w:lvl w:ilvl="0" w:tplc="87D0D4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1A6CAC">
      <w:start w:val="1"/>
      <w:numFmt w:val="lowerLetter"/>
      <w:lvlText w:val="%2."/>
      <w:lvlJc w:val="left"/>
      <w:pPr>
        <w:ind w:left="1440" w:hanging="360"/>
      </w:pPr>
    </w:lvl>
    <w:lvl w:ilvl="2" w:tplc="5F582F24">
      <w:start w:val="1"/>
      <w:numFmt w:val="lowerRoman"/>
      <w:lvlText w:val="%3."/>
      <w:lvlJc w:val="right"/>
      <w:pPr>
        <w:ind w:left="2160" w:hanging="180"/>
      </w:pPr>
    </w:lvl>
    <w:lvl w:ilvl="3" w:tplc="CADA9AD0">
      <w:start w:val="1"/>
      <w:numFmt w:val="decimal"/>
      <w:lvlText w:val="%4."/>
      <w:lvlJc w:val="left"/>
      <w:pPr>
        <w:ind w:left="2880" w:hanging="360"/>
      </w:pPr>
    </w:lvl>
    <w:lvl w:ilvl="4" w:tplc="9FB67332">
      <w:start w:val="1"/>
      <w:numFmt w:val="lowerLetter"/>
      <w:lvlText w:val="%5."/>
      <w:lvlJc w:val="left"/>
      <w:pPr>
        <w:ind w:left="3600" w:hanging="360"/>
      </w:pPr>
    </w:lvl>
    <w:lvl w:ilvl="5" w:tplc="D00ACE96">
      <w:start w:val="1"/>
      <w:numFmt w:val="lowerRoman"/>
      <w:lvlText w:val="%6."/>
      <w:lvlJc w:val="right"/>
      <w:pPr>
        <w:ind w:left="4320" w:hanging="180"/>
      </w:pPr>
    </w:lvl>
    <w:lvl w:ilvl="6" w:tplc="D400AC24">
      <w:start w:val="1"/>
      <w:numFmt w:val="decimal"/>
      <w:lvlText w:val="%7."/>
      <w:lvlJc w:val="left"/>
      <w:pPr>
        <w:ind w:left="5040" w:hanging="360"/>
      </w:pPr>
    </w:lvl>
    <w:lvl w:ilvl="7" w:tplc="5B22C570">
      <w:start w:val="1"/>
      <w:numFmt w:val="lowerLetter"/>
      <w:lvlText w:val="%8."/>
      <w:lvlJc w:val="left"/>
      <w:pPr>
        <w:ind w:left="5760" w:hanging="360"/>
      </w:pPr>
    </w:lvl>
    <w:lvl w:ilvl="8" w:tplc="F4C4BD2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405E92"/>
    <w:multiLevelType w:val="hybridMultilevel"/>
    <w:tmpl w:val="B046E1A4"/>
    <w:lvl w:ilvl="0" w:tplc="010098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6B6EA9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31C86C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39C8EB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0808C6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000D0E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DD428C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3800D3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A880EF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8F7089"/>
    <w:multiLevelType w:val="hybridMultilevel"/>
    <w:tmpl w:val="332ECE18"/>
    <w:lvl w:ilvl="0" w:tplc="F2486B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72D4F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6E573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E464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9601C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E63F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D859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226F8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E8CBE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6017492"/>
    <w:multiLevelType w:val="hybridMultilevel"/>
    <w:tmpl w:val="BA748048"/>
    <w:lvl w:ilvl="0" w:tplc="CCF0BC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A9EA7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E42F5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86E2C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A7AC4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A3AA5B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A54205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E4A727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CEA03B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1C2C75"/>
    <w:multiLevelType w:val="hybridMultilevel"/>
    <w:tmpl w:val="A1DCE8CC"/>
    <w:lvl w:ilvl="0" w:tplc="849E01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A240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BCC92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F447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B6335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C8382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AC16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F0B0A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3EBD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C6B2558"/>
    <w:multiLevelType w:val="hybridMultilevel"/>
    <w:tmpl w:val="BC9EAADE"/>
    <w:lvl w:ilvl="0" w:tplc="83C46B76">
      <w:start w:val="1"/>
      <w:numFmt w:val="decimal"/>
      <w:lvlText w:val="%1."/>
      <w:lvlJc w:val="left"/>
      <w:pPr>
        <w:ind w:left="1428" w:hanging="360"/>
      </w:pPr>
      <w:rPr>
        <w:i w:val="0"/>
        <w:iCs/>
      </w:rPr>
    </w:lvl>
    <w:lvl w:ilvl="1" w:tplc="EBD4CEB8">
      <w:start w:val="1"/>
      <w:numFmt w:val="lowerLetter"/>
      <w:lvlText w:val="%2."/>
      <w:lvlJc w:val="left"/>
      <w:pPr>
        <w:ind w:left="2148" w:hanging="360"/>
      </w:pPr>
    </w:lvl>
    <w:lvl w:ilvl="2" w:tplc="057E01E6">
      <w:start w:val="1"/>
      <w:numFmt w:val="lowerRoman"/>
      <w:lvlText w:val="%3."/>
      <w:lvlJc w:val="right"/>
      <w:pPr>
        <w:ind w:left="2868" w:hanging="180"/>
      </w:pPr>
    </w:lvl>
    <w:lvl w:ilvl="3" w:tplc="3B6629DE">
      <w:start w:val="1"/>
      <w:numFmt w:val="decimal"/>
      <w:lvlText w:val="%4."/>
      <w:lvlJc w:val="left"/>
      <w:pPr>
        <w:ind w:left="3588" w:hanging="360"/>
      </w:pPr>
    </w:lvl>
    <w:lvl w:ilvl="4" w:tplc="8FAA1816">
      <w:start w:val="1"/>
      <w:numFmt w:val="lowerLetter"/>
      <w:lvlText w:val="%5."/>
      <w:lvlJc w:val="left"/>
      <w:pPr>
        <w:ind w:left="4308" w:hanging="360"/>
      </w:pPr>
    </w:lvl>
    <w:lvl w:ilvl="5" w:tplc="61240722">
      <w:start w:val="1"/>
      <w:numFmt w:val="lowerRoman"/>
      <w:lvlText w:val="%6."/>
      <w:lvlJc w:val="right"/>
      <w:pPr>
        <w:ind w:left="5028" w:hanging="180"/>
      </w:pPr>
    </w:lvl>
    <w:lvl w:ilvl="6" w:tplc="1F08EA96">
      <w:start w:val="1"/>
      <w:numFmt w:val="decimal"/>
      <w:lvlText w:val="%7."/>
      <w:lvlJc w:val="left"/>
      <w:pPr>
        <w:ind w:left="5748" w:hanging="360"/>
      </w:pPr>
    </w:lvl>
    <w:lvl w:ilvl="7" w:tplc="0832ACBC">
      <w:start w:val="1"/>
      <w:numFmt w:val="lowerLetter"/>
      <w:lvlText w:val="%8."/>
      <w:lvlJc w:val="left"/>
      <w:pPr>
        <w:ind w:left="6468" w:hanging="360"/>
      </w:pPr>
    </w:lvl>
    <w:lvl w:ilvl="8" w:tplc="226CCD7C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EB13D02"/>
    <w:multiLevelType w:val="hybridMultilevel"/>
    <w:tmpl w:val="73AE5AE8"/>
    <w:lvl w:ilvl="0" w:tplc="D46CF2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2D6598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B903E4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BC8077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B6CFC3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0C8F51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A8A561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820930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6FCF1C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DE00AA"/>
    <w:multiLevelType w:val="hybridMultilevel"/>
    <w:tmpl w:val="2C40F9E6"/>
    <w:lvl w:ilvl="0" w:tplc="9E3014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90D2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692041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B293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5054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74E6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F258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7243B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EA842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FA5F04"/>
    <w:multiLevelType w:val="hybridMultilevel"/>
    <w:tmpl w:val="F2E0081A"/>
    <w:lvl w:ilvl="0" w:tplc="0A640D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5E77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2042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C678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6898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4849C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F0068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7A494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A67E6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2AB5157"/>
    <w:multiLevelType w:val="hybridMultilevel"/>
    <w:tmpl w:val="9F52B97C"/>
    <w:lvl w:ilvl="0" w:tplc="5DD88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D4EB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C2084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8C56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3038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AE819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F43E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085A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EBC96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5D9605C"/>
    <w:multiLevelType w:val="hybridMultilevel"/>
    <w:tmpl w:val="0680B28A"/>
    <w:lvl w:ilvl="0" w:tplc="D51644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0DCD4F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314FF7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600F69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67C3EB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616DC6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1346DD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72C5BF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DC67F1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A295A52"/>
    <w:multiLevelType w:val="hybridMultilevel"/>
    <w:tmpl w:val="795C5BC6"/>
    <w:lvl w:ilvl="0" w:tplc="4CFA72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19C5F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15A03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B326B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F8CB50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63AAF6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1DA212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EDE75C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4621A8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7673D8"/>
    <w:multiLevelType w:val="hybridMultilevel"/>
    <w:tmpl w:val="ECCE4B78"/>
    <w:lvl w:ilvl="0" w:tplc="9EEC4B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9D6B9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49C929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9D8B62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25C906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6307A3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E2EFAE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A52239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1BEC37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454D77"/>
    <w:multiLevelType w:val="hybridMultilevel"/>
    <w:tmpl w:val="1820CC50"/>
    <w:lvl w:ilvl="0" w:tplc="C6A2E08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7E7E0C56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9102A29E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3042014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11C86EF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1B0A9A7C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0AE15A4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B26E9B74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BF80FC0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514D4E41"/>
    <w:multiLevelType w:val="hybridMultilevel"/>
    <w:tmpl w:val="D10AF072"/>
    <w:lvl w:ilvl="0" w:tplc="E6C251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5A6A1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9EDD0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46E81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AE2B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B32418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E8F8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C20BE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F36A41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A76B85"/>
    <w:multiLevelType w:val="hybridMultilevel"/>
    <w:tmpl w:val="148EE3D0"/>
    <w:lvl w:ilvl="0" w:tplc="409893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8E034B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996D04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724D4A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C466A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EAC000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E90D2A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49C966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38A55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48A7523"/>
    <w:multiLevelType w:val="hybridMultilevel"/>
    <w:tmpl w:val="14486120"/>
    <w:lvl w:ilvl="0" w:tplc="6C2EA6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207A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63647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BA95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A89C2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D02913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0C65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0C83D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DAB1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56E2CFC"/>
    <w:multiLevelType w:val="hybridMultilevel"/>
    <w:tmpl w:val="D2580532"/>
    <w:lvl w:ilvl="0" w:tplc="AC5601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5E877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59E5A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072247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2AEF14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BB2BFC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ADA633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032156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84AF0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1AB39A5"/>
    <w:multiLevelType w:val="hybridMultilevel"/>
    <w:tmpl w:val="7CE0444E"/>
    <w:lvl w:ilvl="0" w:tplc="C95A0C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9EDCEC38">
      <w:start w:val="1"/>
      <w:numFmt w:val="lowerLetter"/>
      <w:lvlText w:val="%2."/>
      <w:lvlJc w:val="left"/>
      <w:pPr>
        <w:ind w:left="1788" w:hanging="360"/>
      </w:pPr>
    </w:lvl>
    <w:lvl w:ilvl="2" w:tplc="C7DA867A">
      <w:start w:val="1"/>
      <w:numFmt w:val="lowerRoman"/>
      <w:lvlText w:val="%3."/>
      <w:lvlJc w:val="right"/>
      <w:pPr>
        <w:ind w:left="2508" w:hanging="180"/>
      </w:pPr>
    </w:lvl>
    <w:lvl w:ilvl="3" w:tplc="7BEEE892">
      <w:start w:val="1"/>
      <w:numFmt w:val="decimal"/>
      <w:lvlText w:val="%4."/>
      <w:lvlJc w:val="left"/>
      <w:pPr>
        <w:ind w:left="3228" w:hanging="360"/>
      </w:pPr>
    </w:lvl>
    <w:lvl w:ilvl="4" w:tplc="C16CECC2">
      <w:start w:val="1"/>
      <w:numFmt w:val="lowerLetter"/>
      <w:lvlText w:val="%5."/>
      <w:lvlJc w:val="left"/>
      <w:pPr>
        <w:ind w:left="3948" w:hanging="360"/>
      </w:pPr>
    </w:lvl>
    <w:lvl w:ilvl="5" w:tplc="56DE18EA">
      <w:start w:val="1"/>
      <w:numFmt w:val="lowerRoman"/>
      <w:lvlText w:val="%6."/>
      <w:lvlJc w:val="right"/>
      <w:pPr>
        <w:ind w:left="4668" w:hanging="180"/>
      </w:pPr>
    </w:lvl>
    <w:lvl w:ilvl="6" w:tplc="0BE23D54">
      <w:start w:val="1"/>
      <w:numFmt w:val="decimal"/>
      <w:lvlText w:val="%7."/>
      <w:lvlJc w:val="left"/>
      <w:pPr>
        <w:ind w:left="5388" w:hanging="360"/>
      </w:pPr>
    </w:lvl>
    <w:lvl w:ilvl="7" w:tplc="320EC106">
      <w:start w:val="1"/>
      <w:numFmt w:val="lowerLetter"/>
      <w:lvlText w:val="%8."/>
      <w:lvlJc w:val="left"/>
      <w:pPr>
        <w:ind w:left="6108" w:hanging="360"/>
      </w:pPr>
    </w:lvl>
    <w:lvl w:ilvl="8" w:tplc="B1E07DCE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1B2282D"/>
    <w:multiLevelType w:val="hybridMultilevel"/>
    <w:tmpl w:val="24344B8C"/>
    <w:lvl w:ilvl="0" w:tplc="A3D007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84B0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15EBC3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D4CD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1C74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B609B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A8F4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E8BC6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10A0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5E01491"/>
    <w:multiLevelType w:val="hybridMultilevel"/>
    <w:tmpl w:val="411634AC"/>
    <w:lvl w:ilvl="0" w:tplc="0824A1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9805F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AA410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AD61C6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58C131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C9C4A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FFCF0E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37C8A8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E0E5DA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161462"/>
    <w:multiLevelType w:val="hybridMultilevel"/>
    <w:tmpl w:val="3ABEF426"/>
    <w:lvl w:ilvl="0" w:tplc="F86C09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AC047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E02AF1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DF488F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BD8D6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08617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2662C5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2841A2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C0598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4984835"/>
    <w:multiLevelType w:val="hybridMultilevel"/>
    <w:tmpl w:val="97C266D8"/>
    <w:lvl w:ilvl="0" w:tplc="D9A4F9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42DD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E8695D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0874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A8DC0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6F8530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3274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A8D2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9CB0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4D96CEB"/>
    <w:multiLevelType w:val="hybridMultilevel"/>
    <w:tmpl w:val="8F02BFCA"/>
    <w:lvl w:ilvl="0" w:tplc="29A61B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28816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0048A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9CA4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B01A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CE55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607F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9EA8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D10957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7A24163"/>
    <w:multiLevelType w:val="hybridMultilevel"/>
    <w:tmpl w:val="7DCA270E"/>
    <w:lvl w:ilvl="0" w:tplc="9F76F0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70877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788D8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2345D8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1622C1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E2E10D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4CEBE5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24A4AC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F0A172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B6C3D07"/>
    <w:multiLevelType w:val="hybridMultilevel"/>
    <w:tmpl w:val="E69A3EE8"/>
    <w:lvl w:ilvl="0" w:tplc="C018F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78D3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BBE467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5889D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4A4C5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E84AB3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78FE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94FD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2E41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F292644"/>
    <w:multiLevelType w:val="hybridMultilevel"/>
    <w:tmpl w:val="7AE062B0"/>
    <w:lvl w:ilvl="0" w:tplc="8FD43D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14D07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EFAA4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8AC6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9E08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B61A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B4674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2C76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6C1A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9"/>
  </w:num>
  <w:num w:numId="5">
    <w:abstractNumId w:val="22"/>
  </w:num>
  <w:num w:numId="6">
    <w:abstractNumId w:val="6"/>
  </w:num>
  <w:num w:numId="7">
    <w:abstractNumId w:val="20"/>
  </w:num>
  <w:num w:numId="8">
    <w:abstractNumId w:val="26"/>
  </w:num>
  <w:num w:numId="9">
    <w:abstractNumId w:val="25"/>
  </w:num>
  <w:num w:numId="10">
    <w:abstractNumId w:val="17"/>
  </w:num>
  <w:num w:numId="11">
    <w:abstractNumId w:val="8"/>
  </w:num>
  <w:num w:numId="12">
    <w:abstractNumId w:val="16"/>
  </w:num>
  <w:num w:numId="13">
    <w:abstractNumId w:val="14"/>
  </w:num>
  <w:num w:numId="14">
    <w:abstractNumId w:val="11"/>
  </w:num>
  <w:num w:numId="15">
    <w:abstractNumId w:val="1"/>
  </w:num>
  <w:num w:numId="16">
    <w:abstractNumId w:val="13"/>
  </w:num>
  <w:num w:numId="17">
    <w:abstractNumId w:val="15"/>
  </w:num>
  <w:num w:numId="18">
    <w:abstractNumId w:val="7"/>
  </w:num>
  <w:num w:numId="19">
    <w:abstractNumId w:val="2"/>
  </w:num>
  <w:num w:numId="20">
    <w:abstractNumId w:val="29"/>
  </w:num>
  <w:num w:numId="21">
    <w:abstractNumId w:val="12"/>
  </w:num>
  <w:num w:numId="22">
    <w:abstractNumId w:val="5"/>
  </w:num>
  <w:num w:numId="23">
    <w:abstractNumId w:val="23"/>
  </w:num>
  <w:num w:numId="24">
    <w:abstractNumId w:val="28"/>
  </w:num>
  <w:num w:numId="25">
    <w:abstractNumId w:val="21"/>
  </w:num>
  <w:num w:numId="26">
    <w:abstractNumId w:val="30"/>
  </w:num>
  <w:num w:numId="27">
    <w:abstractNumId w:val="31"/>
  </w:num>
  <w:num w:numId="28">
    <w:abstractNumId w:val="27"/>
  </w:num>
  <w:num w:numId="29">
    <w:abstractNumId w:val="24"/>
  </w:num>
  <w:num w:numId="30">
    <w:abstractNumId w:val="19"/>
  </w:num>
  <w:num w:numId="31">
    <w:abstractNumId w:val="10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610"/>
    <w:rsid w:val="00472FB0"/>
    <w:rsid w:val="006112E2"/>
    <w:rsid w:val="00694F45"/>
    <w:rsid w:val="00833854"/>
    <w:rsid w:val="00AB3FC5"/>
    <w:rsid w:val="00AD0093"/>
    <w:rsid w:val="00BA2610"/>
    <w:rsid w:val="00ED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7D1BF5-41F4-4943-B5A5-682A4426D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paragraph" w:styleId="a4">
    <w:name w:val="header"/>
    <w:basedOn w:val="a"/>
    <w:link w:val="a5"/>
    <w:uiPriority w:val="99"/>
    <w:unhideWhenUsed/>
    <w:pPr>
      <w:tabs>
        <w:tab w:val="center" w:pos="7143"/>
        <w:tab w:val="right" w:pos="14287"/>
      </w:tabs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7">
    <w:name w:val="Нижний колонтитул Знак"/>
    <w:link w:val="a6"/>
    <w:uiPriority w:val="99"/>
  </w:style>
  <w:style w:type="table" w:styleId="a9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Pr>
      <w:color w:val="0563C1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inorHAnsi" w:eastAsiaTheme="majorEastAsia" w:hAnsiTheme="minorHAnsi" w:cstheme="majorBidi"/>
      <w:color w:val="272727" w:themeColor="text1" w:themeTint="D8"/>
    </w:rPr>
  </w:style>
  <w:style w:type="paragraph" w:styleId="af3">
    <w:name w:val="Title"/>
    <w:basedOn w:val="a"/>
    <w:next w:val="a"/>
    <w:link w:val="af4"/>
    <w:uiPriority w:val="10"/>
    <w:qFormat/>
    <w:pPr>
      <w:spacing w:after="8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4">
    <w:name w:val="Название Знак"/>
    <w:basedOn w:val="a0"/>
    <w:link w:val="af3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5">
    <w:name w:val="Subtitle"/>
    <w:basedOn w:val="a"/>
    <w:next w:val="a"/>
    <w:link w:val="af6"/>
    <w:uiPriority w:val="11"/>
    <w:qFormat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f6">
    <w:name w:val="Подзаголовок Знак"/>
    <w:basedOn w:val="a0"/>
    <w:link w:val="af5"/>
    <w:uiPriority w:val="1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3">
    <w:name w:val="Quote"/>
    <w:basedOn w:val="a"/>
    <w:next w:val="a"/>
    <w:link w:val="24"/>
    <w:uiPriority w:val="29"/>
    <w:qFormat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Pr>
      <w:i/>
      <w:iCs/>
      <w:color w:val="404040" w:themeColor="text1" w:themeTint="BF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character" w:styleId="af8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f9">
    <w:name w:val="Intense Quote"/>
    <w:basedOn w:val="a"/>
    <w:next w:val="a"/>
    <w:link w:val="afa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fa">
    <w:name w:val="Выделенная цитата Знак"/>
    <w:basedOn w:val="a0"/>
    <w:link w:val="af9"/>
    <w:uiPriority w:val="30"/>
    <w:rPr>
      <w:i/>
      <w:iCs/>
      <w:color w:val="2F5496" w:themeColor="accent1" w:themeShade="BF"/>
    </w:rPr>
  </w:style>
  <w:style w:type="character" w:styleId="afb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customStyle="1" w:styleId="13">
    <w:name w:val="Основной текст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both"/>
    </w:pPr>
    <w:rPr>
      <w:rFonts w:eastAsia="Times New Roman"/>
      <w:sz w:val="26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1702</Words>
  <Characters>9704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Сапичев</dc:creator>
  <cp:keywords/>
  <dc:description/>
  <cp:lastModifiedBy>Склярова Марина Сергеевна</cp:lastModifiedBy>
  <cp:revision>3</cp:revision>
  <dcterms:created xsi:type="dcterms:W3CDTF">2025-04-04T07:22:00Z</dcterms:created>
  <dcterms:modified xsi:type="dcterms:W3CDTF">2025-04-04T07:54:00Z</dcterms:modified>
</cp:coreProperties>
</file>